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85"/>
        <w:gridCol w:w="1177"/>
        <w:gridCol w:w="4308"/>
      </w:tblGrid>
      <w:tr w:rsidR="00BC6749" w:rsidRPr="00D2696F">
        <w:trPr>
          <w:cantSplit/>
          <w:trHeight w:val="692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49" w:rsidRPr="00D2696F" w:rsidRDefault="00BC6749" w:rsidP="0073681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>BTS Services informatiques aux organisations</w:t>
            </w:r>
          </w:p>
          <w:p w:rsidR="00BC6749" w:rsidRPr="00D2696F" w:rsidRDefault="00BC6749" w:rsidP="0092220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Session 201</w:t>
            </w:r>
            <w:r w:rsidR="00B978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C6749" w:rsidRPr="00D2696F">
        <w:trPr>
          <w:cantSplit/>
          <w:trHeight w:val="413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749" w:rsidRPr="00D2696F" w:rsidRDefault="00BC6749" w:rsidP="0073681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>DESCRIPTION D’UNE SITUATION PROFESSIONNELLE</w:t>
            </w:r>
          </w:p>
        </w:tc>
      </w:tr>
      <w:tr w:rsidR="00BC6749" w:rsidRPr="00D2696F">
        <w:trPr>
          <w:cantSplit/>
          <w:trHeight w:val="536"/>
        </w:trPr>
        <w:tc>
          <w:tcPr>
            <w:tcW w:w="5285" w:type="dxa"/>
            <w:tcBorders>
              <w:left w:val="single" w:sz="4" w:space="0" w:color="000000"/>
              <w:bottom w:val="single" w:sz="4" w:space="0" w:color="000000"/>
            </w:tcBorders>
          </w:tcPr>
          <w:p w:rsidR="00BC6749" w:rsidRPr="00D2696F" w:rsidRDefault="00BC6749" w:rsidP="00D8664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Épreuve ponctuelle    </w:t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664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5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C6749" w:rsidRPr="00D2696F" w:rsidRDefault="00BC6749" w:rsidP="00CE477F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Contrôle en cours de formation   </w:t>
            </w:r>
            <w:bookmarkStart w:id="0" w:name="CheckBox"/>
            <w:r w:rsidR="006D5BEF" w:rsidRPr="00D269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5BEF">
              <w:rPr>
                <w:rFonts w:ascii="Arial" w:hAnsi="Arial" w:cs="Arial"/>
                <w:sz w:val="20"/>
                <w:szCs w:val="20"/>
              </w:rPr>
            </w:r>
            <w:r w:rsidR="006D5B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5BEF" w:rsidRPr="00D269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C6749" w:rsidRPr="00D2696F">
        <w:trPr>
          <w:cantSplit/>
          <w:trHeight w:val="354"/>
        </w:trPr>
        <w:tc>
          <w:tcPr>
            <w:tcW w:w="5285" w:type="dxa"/>
            <w:tcBorders>
              <w:left w:val="single" w:sz="4" w:space="0" w:color="000000"/>
              <w:bottom w:val="single" w:sz="4" w:space="0" w:color="000000"/>
            </w:tcBorders>
          </w:tcPr>
          <w:p w:rsidR="00BC6749" w:rsidRPr="00D2696F" w:rsidRDefault="00BC6749" w:rsidP="00D8664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PARCOURS SISR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664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5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C6749" w:rsidRPr="00D2696F" w:rsidRDefault="00BC6749" w:rsidP="00736812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PARCOURS SLAM     </w:t>
            </w:r>
            <w:r w:rsidR="006D5BEF" w:rsidRPr="00D269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9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5BEF">
              <w:rPr>
                <w:rFonts w:ascii="Arial" w:hAnsi="Arial" w:cs="Arial"/>
                <w:sz w:val="20"/>
                <w:szCs w:val="20"/>
              </w:rPr>
            </w:r>
            <w:r w:rsidR="006D5B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5BEF" w:rsidRPr="00D269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6749" w:rsidRPr="00D2696F">
        <w:trPr>
          <w:cantSplit/>
          <w:trHeight w:val="337"/>
        </w:trPr>
        <w:tc>
          <w:tcPr>
            <w:tcW w:w="6462" w:type="dxa"/>
            <w:gridSpan w:val="2"/>
            <w:tcBorders>
              <w:left w:val="single" w:sz="4" w:space="0" w:color="000000"/>
            </w:tcBorders>
          </w:tcPr>
          <w:p w:rsidR="00BC6749" w:rsidRPr="00B95D13" w:rsidRDefault="00BC6749" w:rsidP="002347C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>NOM et prénom du candidat</w:t>
            </w:r>
            <w:r w:rsidRPr="00B95D13">
              <w:rPr>
                <w:rStyle w:val="Appelnotedebasdep"/>
                <w:rFonts w:cs="Times"/>
                <w:b/>
                <w:bCs/>
                <w:sz w:val="20"/>
                <w:szCs w:val="20"/>
              </w:rPr>
              <w:footnoteReference w:id="1"/>
            </w: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</w:t>
            </w:r>
            <w:r w:rsidR="00A01502">
              <w:rPr>
                <w:rFonts w:ascii="Arial" w:hAnsi="Arial" w:cs="Arial"/>
                <w:b/>
                <w:bCs/>
                <w:sz w:val="20"/>
                <w:szCs w:val="20"/>
              </w:rPr>
              <w:t>GHANDOUR Hassan</w:t>
            </w:r>
          </w:p>
        </w:tc>
        <w:tc>
          <w:tcPr>
            <w:tcW w:w="4308" w:type="dxa"/>
            <w:tcBorders>
              <w:right w:val="single" w:sz="4" w:space="0" w:color="000000"/>
            </w:tcBorders>
          </w:tcPr>
          <w:p w:rsidR="00BC6749" w:rsidRPr="00D2696F" w:rsidRDefault="00BC6749" w:rsidP="0092220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69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N° </w:t>
            </w:r>
            <w:proofErr w:type="spellStart"/>
            <w:r w:rsidRPr="00D269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candida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-e</w:t>
            </w:r>
            <w:r w:rsidRPr="00D269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015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M326080830</w:t>
            </w:r>
          </w:p>
        </w:tc>
      </w:tr>
      <w:tr w:rsidR="00BC6749" w:rsidRPr="00D2696F">
        <w:trPr>
          <w:cantSplit/>
          <w:trHeight w:val="1690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749" w:rsidRPr="00302815" w:rsidRDefault="00BC6749" w:rsidP="00AC6C1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281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Contexte de la situation professionnelle</w:t>
            </w:r>
            <w:r w:rsidRPr="00302815">
              <w:rPr>
                <w:rStyle w:val="Appelnotedebasdep"/>
                <w:rFonts w:cs="Times"/>
                <w:b/>
                <w:bCs/>
                <w:sz w:val="22"/>
                <w:szCs w:val="22"/>
                <w:u w:val="single"/>
              </w:rPr>
              <w:t>2</w:t>
            </w:r>
          </w:p>
          <w:p w:rsidR="00E33C67" w:rsidRDefault="00CE7D14" w:rsidP="00756ADB">
            <w:pPr>
              <w:snapToGri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Construire l’infra</w:t>
            </w:r>
            <w:r w:rsidR="00301ECD">
              <w:rPr>
                <w:rFonts w:ascii="Arial" w:hAnsi="Arial" w:cs="Arial"/>
                <w:b/>
                <w:bCs/>
                <w:sz w:val="20"/>
                <w:szCs w:val="20"/>
              </w:rPr>
              <w:t>structure</w:t>
            </w:r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17AF"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réseau </w:t>
            </w:r>
            <w:proofErr w:type="spellStart"/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>backbone</w:t>
            </w:r>
            <w:proofErr w:type="spellEnd"/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17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Maison des Ligues </w:t>
            </w:r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>en installant</w:t>
            </w:r>
            <w:r w:rsidR="00301E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17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une gestion dynamique des </w:t>
            </w:r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739D">
              <w:rPr>
                <w:rFonts w:ascii="Arial" w:hAnsi="Arial" w:cs="Arial"/>
                <w:b/>
                <w:bCs/>
                <w:sz w:val="20"/>
                <w:szCs w:val="20"/>
              </w:rPr>
              <w:t>routes sur le réseau</w:t>
            </w:r>
            <w:r w:rsidR="00756A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L’infrastructure du réseau </w:t>
            </w:r>
            <w:proofErr w:type="spellStart"/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>Backbone</w:t>
            </w:r>
            <w:proofErr w:type="spellEnd"/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permet l’accès aux services DMZ et Internet pour les sous réseaux Ligues et M2L.</w:t>
            </w:r>
          </w:p>
          <w:p w:rsidR="00E33C67" w:rsidRDefault="00C7375F" w:rsidP="005B20C4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Une solution permettant une haute disponibilité sur </w:t>
            </w:r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 réseau </w:t>
            </w:r>
            <w:proofErr w:type="spellStart"/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>backbone</w:t>
            </w:r>
            <w:proofErr w:type="spellEnd"/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sera implémentée</w:t>
            </w:r>
            <w:r w:rsidR="007848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84825" w:rsidRPr="00AC6C11" w:rsidRDefault="00784825" w:rsidP="005B20C4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749" w:rsidRPr="00D2696F">
        <w:trPr>
          <w:cantSplit/>
          <w:trHeight w:val="767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749" w:rsidRPr="00302815" w:rsidRDefault="00BC6749" w:rsidP="0073681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281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Intitulé de la situation professionnelle</w:t>
            </w:r>
          </w:p>
          <w:p w:rsidR="00B97843" w:rsidRPr="000E7577" w:rsidRDefault="008A516C" w:rsidP="005B20C4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Routage </w:t>
            </w:r>
            <w:r w:rsidR="004B10D3">
              <w:rPr>
                <w:rFonts w:ascii="Arial" w:hAnsi="Arial" w:cs="Arial"/>
                <w:b/>
                <w:sz w:val="20"/>
                <w:szCs w:val="20"/>
              </w:rPr>
              <w:t>OSPF</w:t>
            </w:r>
          </w:p>
        </w:tc>
      </w:tr>
      <w:tr w:rsidR="00BC6749" w:rsidRPr="00D2696F">
        <w:trPr>
          <w:cantSplit/>
          <w:trHeight w:val="680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49" w:rsidRPr="00B95D13" w:rsidRDefault="00BC6749" w:rsidP="00B97843">
            <w:pPr>
              <w:tabs>
                <w:tab w:val="left" w:pos="5103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Période de réalisation : </w:t>
            </w:r>
            <w:r w:rsidR="00D8664C">
              <w:rPr>
                <w:rFonts w:ascii="Arial" w:hAnsi="Arial" w:cs="Arial"/>
                <w:b/>
                <w:bCs/>
                <w:sz w:val="20"/>
                <w:szCs w:val="20"/>
              </w:rPr>
              <w:t>du 03/14 au 04/14</w:t>
            </w:r>
            <w:r w:rsidR="00B9784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Lieu : </w:t>
            </w:r>
          </w:p>
          <w:p w:rsidR="00BC6749" w:rsidRPr="00B95D13" w:rsidRDefault="00BC6749" w:rsidP="00D86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Modalité :         </w:t>
            </w:r>
            <w:r w:rsidR="006D5B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866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5BEF">
              <w:rPr>
                <w:rFonts w:ascii="Arial" w:hAnsi="Arial" w:cs="Arial"/>
                <w:sz w:val="20"/>
                <w:szCs w:val="20"/>
              </w:rPr>
            </w:r>
            <w:r w:rsidR="006D5B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5B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3BD6">
              <w:rPr>
                <w:rFonts w:ascii="Arial" w:hAnsi="Arial" w:cs="Arial"/>
                <w:b/>
                <w:sz w:val="20"/>
                <w:szCs w:val="20"/>
              </w:rPr>
              <w:t>Individuelle</w:t>
            </w: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="00B978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784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D5B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95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33BD6">
              <w:rPr>
                <w:rFonts w:ascii="Arial" w:hAnsi="Arial" w:cs="Arial"/>
                <w:b/>
                <w:sz w:val="20"/>
                <w:szCs w:val="20"/>
              </w:rPr>
              <w:t>En équipe</w:t>
            </w:r>
            <w:bookmarkStart w:id="1" w:name="_GoBack"/>
            <w:bookmarkEnd w:id="1"/>
          </w:p>
        </w:tc>
      </w:tr>
      <w:tr w:rsidR="00BC6749" w:rsidRPr="00D2696F">
        <w:trPr>
          <w:cantSplit/>
          <w:trHeight w:val="178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749" w:rsidRPr="00302815" w:rsidRDefault="00BC6749" w:rsidP="0063612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281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Principale(s) activités(s) concernée(s)</w:t>
            </w:r>
            <w:r w:rsidRPr="00302815">
              <w:rPr>
                <w:rStyle w:val="Appelnotedebasdep"/>
                <w:rFonts w:cs="Times"/>
                <w:b/>
                <w:bCs/>
                <w:sz w:val="22"/>
                <w:szCs w:val="22"/>
              </w:rPr>
              <w:t>3</w:t>
            </w:r>
          </w:p>
          <w:p w:rsidR="00BC6749" w:rsidRPr="00FD7D2F" w:rsidRDefault="00BC6749" w:rsidP="00557831">
            <w:pPr>
              <w:pStyle w:val="Sansinterligne1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D2F">
              <w:rPr>
                <w:rFonts w:ascii="Arial" w:hAnsi="Arial" w:cs="Arial"/>
                <w:b/>
                <w:bCs/>
                <w:sz w:val="20"/>
                <w:szCs w:val="20"/>
              </w:rPr>
              <w:t>D1.1 Analyse de la demande</w:t>
            </w:r>
          </w:p>
          <w:p w:rsidR="00BC6749" w:rsidRPr="00FD7D2F" w:rsidRDefault="00BC6749" w:rsidP="00AC6C11">
            <w:pPr>
              <w:pStyle w:val="Sansinterligne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D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D1.2 Choix d’une solution </w:t>
            </w:r>
          </w:p>
          <w:p w:rsidR="00BC6749" w:rsidRPr="00FD7D2F" w:rsidRDefault="00BC6749" w:rsidP="00AC6C11">
            <w:pPr>
              <w:pStyle w:val="Sansinterligne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D2F">
              <w:rPr>
                <w:rFonts w:ascii="Arial" w:hAnsi="Arial" w:cs="Arial"/>
                <w:b/>
                <w:bCs/>
                <w:sz w:val="20"/>
                <w:szCs w:val="20"/>
              </w:rPr>
              <w:t>D1.3 Mise en production d’un service</w:t>
            </w:r>
          </w:p>
          <w:p w:rsidR="00BC6749" w:rsidRPr="00FD7D2F" w:rsidRDefault="00BC6749" w:rsidP="00853B9A">
            <w:pPr>
              <w:pStyle w:val="Sansinterligne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D2F">
              <w:rPr>
                <w:rFonts w:ascii="Arial" w:hAnsi="Arial" w:cs="Arial"/>
                <w:b/>
                <w:bCs/>
                <w:sz w:val="20"/>
                <w:szCs w:val="20"/>
              </w:rPr>
              <w:t>D3.2 Installation d’une solution d’infrastructure</w:t>
            </w:r>
          </w:p>
          <w:p w:rsidR="00BC6749" w:rsidRPr="00B32AEB" w:rsidRDefault="00BC6749" w:rsidP="00B32AEB">
            <w:pPr>
              <w:pStyle w:val="Sansinterligne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D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D3.3 </w:t>
            </w:r>
            <w:r w:rsidR="000E7577">
              <w:rPr>
                <w:rFonts w:ascii="Arial" w:hAnsi="Arial" w:cs="Arial"/>
                <w:b/>
                <w:bCs/>
                <w:sz w:val="20"/>
                <w:szCs w:val="20"/>
              </w:rPr>
              <w:t>Tests</w:t>
            </w:r>
            <w:r w:rsidRPr="00FD7D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d’une solution d’infrastructure</w:t>
            </w:r>
          </w:p>
        </w:tc>
      </w:tr>
      <w:tr w:rsidR="00BC6749" w:rsidRPr="00D2696F">
        <w:trPr>
          <w:cantSplit/>
          <w:trHeight w:val="2013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749" w:rsidRPr="00302815" w:rsidRDefault="00BC6749" w:rsidP="00636122">
            <w:pPr>
              <w:snapToGrid w:val="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302815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Conditions de réalisation</w:t>
            </w:r>
            <w:r w:rsidRPr="00302815">
              <w:rPr>
                <w:rStyle w:val="Appelnotedebasdep"/>
                <w:rFonts w:ascii="Calibri" w:hAnsi="Calibri" w:cs="Times"/>
                <w:b/>
                <w:bCs/>
                <w:sz w:val="22"/>
                <w:szCs w:val="22"/>
                <w:u w:val="single"/>
              </w:rPr>
              <w:t>3</w:t>
            </w:r>
            <w:r w:rsidRPr="00302815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(ressources fournies, résultats attendus)</w:t>
            </w:r>
          </w:p>
          <w:p w:rsidR="00BC6749" w:rsidRPr="00302815" w:rsidRDefault="00BC6749" w:rsidP="00736812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2815">
              <w:rPr>
                <w:rFonts w:ascii="Calibri" w:hAnsi="Calibri" w:cs="Arial"/>
                <w:b/>
                <w:bCs/>
                <w:sz w:val="20"/>
                <w:szCs w:val="20"/>
              </w:rPr>
              <w:t>Ressources fournies :</w:t>
            </w:r>
          </w:p>
          <w:p w:rsidR="00BC6749" w:rsidRPr="004B10D3" w:rsidRDefault="00BC6749" w:rsidP="00AA55AA">
            <w:pPr>
              <w:pStyle w:val="Sansinterligne1"/>
              <w:numPr>
                <w:ilvl w:val="0"/>
                <w:numId w:val="2"/>
              </w:numPr>
              <w:ind w:left="567" w:hanging="207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4B10D3">
              <w:rPr>
                <w:rFonts w:ascii="Calibri" w:hAnsi="Calibri" w:cs="Arial"/>
                <w:sz w:val="22"/>
                <w:szCs w:val="22"/>
              </w:rPr>
              <w:t>Ressources</w:t>
            </w:r>
            <w:proofErr w:type="gramEnd"/>
            <w:r w:rsidRPr="004B10D3">
              <w:rPr>
                <w:rFonts w:ascii="Calibri" w:hAnsi="Calibri" w:cs="Arial"/>
                <w:sz w:val="22"/>
                <w:szCs w:val="22"/>
              </w:rPr>
              <w:t xml:space="preserve"> : </w:t>
            </w:r>
          </w:p>
          <w:p w:rsidR="00BC6749" w:rsidRPr="004B10D3" w:rsidRDefault="00BC6749" w:rsidP="009C4AB7">
            <w:pPr>
              <w:pStyle w:val="Sansinterligne1"/>
              <w:rPr>
                <w:rFonts w:ascii="Calibri" w:hAnsi="Calibri" w:cs="Arial"/>
                <w:sz w:val="22"/>
                <w:szCs w:val="22"/>
              </w:rPr>
            </w:pPr>
            <w:r w:rsidRPr="004B10D3">
              <w:rPr>
                <w:rFonts w:ascii="Calibri" w:hAnsi="Calibri" w:cs="Arial"/>
                <w:sz w:val="22"/>
                <w:szCs w:val="22"/>
              </w:rPr>
              <w:t>- Cahier des charges technique-Solution d’infrastructure-éléments d’infrastructure à installer</w:t>
            </w:r>
          </w:p>
          <w:p w:rsidR="00BC6749" w:rsidRPr="004B10D3" w:rsidRDefault="00BC6749" w:rsidP="009C4AB7">
            <w:pPr>
              <w:pStyle w:val="Sansinterligne1"/>
              <w:rPr>
                <w:rFonts w:ascii="Calibri" w:hAnsi="Calibri" w:cs="Arial"/>
                <w:sz w:val="22"/>
                <w:szCs w:val="22"/>
              </w:rPr>
            </w:pPr>
            <w:r w:rsidRPr="004B10D3">
              <w:rPr>
                <w:rFonts w:ascii="Calibri" w:hAnsi="Calibri" w:cs="Arial"/>
                <w:sz w:val="22"/>
                <w:szCs w:val="22"/>
              </w:rPr>
              <w:t>- Schéma de l’infrastructure comprenant les équipements réseau et informatique, les serveurs, le plan d’adressage</w:t>
            </w:r>
          </w:p>
          <w:p w:rsidR="00BC6749" w:rsidRPr="004B10D3" w:rsidRDefault="00BC6749" w:rsidP="00AA55AA">
            <w:pPr>
              <w:pStyle w:val="Paragraphedeliste1"/>
              <w:numPr>
                <w:ilvl w:val="0"/>
                <w:numId w:val="2"/>
              </w:numPr>
              <w:snapToGrid w:val="0"/>
              <w:ind w:left="567" w:hanging="207"/>
              <w:rPr>
                <w:rFonts w:ascii="Calibri" w:hAnsi="Calibri" w:cs="Arial"/>
                <w:sz w:val="22"/>
                <w:szCs w:val="22"/>
              </w:rPr>
            </w:pPr>
            <w:r w:rsidRPr="004B10D3">
              <w:rPr>
                <w:rFonts w:ascii="Calibri" w:hAnsi="Calibri" w:cs="Arial"/>
                <w:sz w:val="22"/>
                <w:szCs w:val="22"/>
              </w:rPr>
              <w:t xml:space="preserve">Résultats attendus : </w:t>
            </w:r>
          </w:p>
          <w:p w:rsidR="00BC6749" w:rsidRPr="004B10D3" w:rsidRDefault="00BC6749" w:rsidP="009C4AB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B10D3">
              <w:rPr>
                <w:rFonts w:ascii="Calibri" w:hAnsi="Calibri" w:cs="Arial"/>
                <w:sz w:val="22"/>
                <w:szCs w:val="22"/>
              </w:rPr>
              <w:t>Le réseau est opérationnel - Les clients reçoivent des adresses IP. L’agent OCS se déploie. OCSNG répertorie les configurations de clients - L’utilisateur ouvre la session et accède à une ressource en fonction de ses permissions.</w:t>
            </w:r>
          </w:p>
        </w:tc>
      </w:tr>
      <w:tr w:rsidR="00BC6749" w:rsidRPr="00D2696F">
        <w:trPr>
          <w:cantSplit/>
          <w:trHeight w:val="1122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49" w:rsidRPr="00302815" w:rsidRDefault="00BC6749" w:rsidP="0012172B">
            <w:pPr>
              <w:snapToGrid w:val="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302815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Productions associées</w:t>
            </w:r>
          </w:p>
          <w:p w:rsidR="00BC6749" w:rsidRPr="00302815" w:rsidRDefault="00BC6749" w:rsidP="0012172B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302815">
              <w:rPr>
                <w:rFonts w:ascii="Calibri" w:hAnsi="Calibri" w:cs="Arial"/>
                <w:sz w:val="20"/>
                <w:szCs w:val="20"/>
              </w:rPr>
              <w:t>Maquette de la solution d’infrastructure. Commandes Cisco. Fichiers de configurations</w:t>
            </w:r>
          </w:p>
          <w:p w:rsidR="00BC6749" w:rsidRPr="00302815" w:rsidRDefault="00BC6749" w:rsidP="003C1F60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302815">
              <w:rPr>
                <w:rFonts w:ascii="Calibri" w:hAnsi="Calibri" w:cs="Arial"/>
                <w:sz w:val="20"/>
                <w:szCs w:val="20"/>
              </w:rPr>
              <w:t>Cahier des charges, Document technique de la solution</w:t>
            </w:r>
          </w:p>
          <w:p w:rsidR="00BC6749" w:rsidRPr="00A01502" w:rsidRDefault="004B10D3" w:rsidP="00B32AEB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Batterie</w:t>
            </w:r>
            <w:r w:rsidR="00BC674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BC6749" w:rsidRPr="00FD7D2F">
              <w:rPr>
                <w:rFonts w:ascii="Arial" w:hAnsi="Arial" w:cs="Arial"/>
                <w:sz w:val="20"/>
                <w:szCs w:val="20"/>
              </w:rPr>
              <w:t xml:space="preserve"> tests</w:t>
            </w:r>
            <w:r w:rsidR="00BC6749" w:rsidRPr="00B95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6749" w:rsidRPr="00D2696F">
        <w:trPr>
          <w:cantSplit/>
          <w:trHeight w:val="1259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49" w:rsidRPr="00302815" w:rsidRDefault="00BC6749" w:rsidP="00736812">
            <w:pPr>
              <w:snapToGrid w:val="0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302815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Modalités d’accès aux productions</w:t>
            </w:r>
          </w:p>
          <w:p w:rsidR="00BC6749" w:rsidRPr="00302815" w:rsidRDefault="00BC6749" w:rsidP="00AC6C11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302815">
              <w:rPr>
                <w:rFonts w:ascii="Calibri" w:hAnsi="Calibri" w:cs="Arial"/>
                <w:sz w:val="20"/>
                <w:szCs w:val="20"/>
              </w:rPr>
              <w:t xml:space="preserve">La commission peut accéder à l'ensemble des productions numériques à disposition à l'emplacement suivant : </w:t>
            </w:r>
          </w:p>
          <w:p w:rsidR="00BC6749" w:rsidRPr="00AC6C11" w:rsidRDefault="00B97843" w:rsidP="004B10D3">
            <w:pPr>
              <w:autoSpaceDE w:val="0"/>
              <w:autoSpaceDN w:val="0"/>
              <w:adjustRightInd w:val="0"/>
            </w:pPr>
            <w:r w:rsidRPr="00302815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="00BC6749" w:rsidRPr="00302815">
              <w:rPr>
                <w:rFonts w:ascii="Calibri" w:hAnsi="Calibri" w:cs="Arial"/>
                <w:sz w:val="20"/>
                <w:szCs w:val="20"/>
              </w:rPr>
              <w:t xml:space="preserve">ou sur le site ftp du centre de formation accessible </w:t>
            </w:r>
            <w:r w:rsidRPr="00302815">
              <w:rPr>
                <w:rFonts w:ascii="Calibri" w:hAnsi="Calibri" w:cs="Arial"/>
                <w:sz w:val="20"/>
                <w:szCs w:val="20"/>
              </w:rPr>
              <w:t>à</w:t>
            </w:r>
            <w:r w:rsidR="00BC6749" w:rsidRPr="00302815">
              <w:rPr>
                <w:rFonts w:ascii="Calibri" w:hAnsi="Calibri" w:cs="Arial"/>
                <w:sz w:val="20"/>
                <w:szCs w:val="20"/>
              </w:rPr>
              <w:t xml:space="preserve"> : </w:t>
            </w:r>
            <w:r w:rsidR="004B10D3">
              <w:rPr>
                <w:rFonts w:ascii="Calibri" w:hAnsi="Calibri" w:cs="Arial"/>
                <w:sz w:val="20"/>
                <w:szCs w:val="20"/>
              </w:rPr>
              <w:t>hassan-bts.webnode.fr m</w:t>
            </w:r>
            <w:r w:rsidR="00BC6749" w:rsidRPr="00302815">
              <w:rPr>
                <w:rFonts w:ascii="Calibri" w:hAnsi="Calibri" w:cs="Arial"/>
                <w:sz w:val="20"/>
                <w:szCs w:val="20"/>
              </w:rPr>
              <w:t xml:space="preserve">oyennant les paramètres de connexion suivants : identifiant : </w:t>
            </w:r>
            <w:r w:rsidR="0047317F">
              <w:rPr>
                <w:rFonts w:ascii="Calibri" w:hAnsi="Calibri" w:cs="Arial"/>
                <w:color w:val="FF0000"/>
                <w:sz w:val="20"/>
                <w:szCs w:val="20"/>
              </w:rPr>
              <w:t>h.ghandour@laposte.net</w:t>
            </w:r>
            <w:r w:rsidR="00BC6749" w:rsidRPr="00302815">
              <w:rPr>
                <w:rFonts w:ascii="Calibri" w:hAnsi="Calibri" w:cs="Arial"/>
                <w:sz w:val="20"/>
                <w:szCs w:val="20"/>
              </w:rPr>
              <w:t xml:space="preserve"> Mot de passe </w:t>
            </w:r>
            <w:proofErr w:type="gramStart"/>
            <w:r w:rsidR="00BC6749" w:rsidRPr="00302815">
              <w:rPr>
                <w:rFonts w:ascii="Calibri" w:hAnsi="Calibri" w:cs="Arial"/>
                <w:sz w:val="20"/>
                <w:szCs w:val="20"/>
              </w:rPr>
              <w:t>:</w:t>
            </w:r>
            <w:proofErr w:type="spellStart"/>
            <w:r w:rsidR="004B10D3">
              <w:rPr>
                <w:rFonts w:ascii="Calibri" w:hAnsi="Calibri" w:cs="Arial"/>
                <w:color w:val="FF0000"/>
                <w:sz w:val="20"/>
                <w:szCs w:val="20"/>
              </w:rPr>
              <w:t>btssi</w:t>
            </w:r>
            <w:proofErr w:type="spellEnd"/>
            <w:r w:rsidR="004B10D3">
              <w:rPr>
                <w:rFonts w:ascii="Calibri" w:hAnsi="Calibri" w:cs="Arial"/>
                <w:color w:val="FF0000"/>
                <w:sz w:val="20"/>
                <w:szCs w:val="20"/>
              </w:rPr>
              <w:t>@</w:t>
            </w:r>
            <w:r w:rsidR="0047317F">
              <w:rPr>
                <w:rFonts w:ascii="Calibri" w:hAnsi="Calibri" w:cs="Arial"/>
                <w:color w:val="FF0000"/>
                <w:sz w:val="20"/>
                <w:szCs w:val="20"/>
              </w:rPr>
              <w:t>2014</w:t>
            </w:r>
            <w:proofErr w:type="gramEnd"/>
          </w:p>
        </w:tc>
      </w:tr>
    </w:tbl>
    <w:p w:rsidR="00B97843" w:rsidRDefault="00B97843" w:rsidP="002908E8">
      <w:pPr>
        <w:pStyle w:val="Paragraphedeliste1"/>
        <w:ind w:left="0"/>
        <w:rPr>
          <w:rFonts w:ascii="Calibri" w:hAnsi="Calibri" w:cs="Calibri"/>
          <w:b/>
          <w:bCs/>
          <w:sz w:val="28"/>
          <w:szCs w:val="28"/>
        </w:rPr>
      </w:pPr>
    </w:p>
    <w:p w:rsidR="002A73ED" w:rsidRDefault="002A73ED" w:rsidP="002908E8">
      <w:pPr>
        <w:pStyle w:val="Paragraphedeliste1"/>
        <w:ind w:left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BC6749" w:rsidRPr="00186531" w:rsidRDefault="00BC6749" w:rsidP="002908E8">
      <w:pPr>
        <w:pStyle w:val="Paragraphedeliste1"/>
        <w:ind w:left="0"/>
        <w:rPr>
          <w:rFonts w:ascii="Calibri" w:hAnsi="Calibri" w:cs="Calibri"/>
          <w:b/>
          <w:bCs/>
          <w:sz w:val="28"/>
          <w:szCs w:val="28"/>
        </w:rPr>
      </w:pPr>
      <w:r w:rsidRPr="00186531">
        <w:rPr>
          <w:rFonts w:ascii="Calibri" w:hAnsi="Calibri" w:cs="Calibri"/>
          <w:b/>
          <w:bCs/>
          <w:sz w:val="28"/>
          <w:szCs w:val="28"/>
        </w:rPr>
        <w:lastRenderedPageBreak/>
        <w:t>Description détaillée de la situation professionnelle</w:t>
      </w:r>
    </w:p>
    <w:p w:rsidR="00BC6749" w:rsidRPr="003E48DB" w:rsidRDefault="00A9725B" w:rsidP="002908E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1) Infrastructure réseau</w:t>
      </w:r>
    </w:p>
    <w:p w:rsidR="00F364DC" w:rsidRDefault="0089523B" w:rsidP="00680BE0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Le réseau  </w:t>
      </w:r>
      <w:proofErr w:type="spellStart"/>
      <w:r>
        <w:rPr>
          <w:rFonts w:ascii="Calibri" w:hAnsi="Calibri"/>
        </w:rPr>
        <w:t>backbone</w:t>
      </w:r>
      <w:proofErr w:type="spellEnd"/>
      <w:r>
        <w:rPr>
          <w:rFonts w:ascii="Calibri" w:hAnsi="Calibri"/>
        </w:rPr>
        <w:t xml:space="preserve"> est constitué </w:t>
      </w:r>
      <w:r w:rsidR="00B5669C">
        <w:rPr>
          <w:rFonts w:ascii="Calibri" w:hAnsi="Calibri"/>
        </w:rPr>
        <w:t xml:space="preserve">de 2 routeurs Cisco 2611 </w:t>
      </w:r>
      <w:r w:rsidR="005559E4">
        <w:rPr>
          <w:rFonts w:ascii="Calibri" w:hAnsi="Calibri"/>
        </w:rPr>
        <w:t>qui assure</w:t>
      </w:r>
      <w:r w:rsidR="00F8072B">
        <w:rPr>
          <w:rFonts w:ascii="Calibri" w:hAnsi="Calibri"/>
        </w:rPr>
        <w:t>nt</w:t>
      </w:r>
      <w:r w:rsidR="005559E4">
        <w:rPr>
          <w:rFonts w:ascii="Calibri" w:hAnsi="Calibri"/>
        </w:rPr>
        <w:t xml:space="preserve"> l’accès </w:t>
      </w:r>
      <w:r w:rsidR="00A9725B">
        <w:rPr>
          <w:rFonts w:ascii="Calibri" w:hAnsi="Calibri"/>
        </w:rPr>
        <w:t xml:space="preserve">des ligues </w:t>
      </w:r>
      <w:r w:rsidR="005559E4">
        <w:rPr>
          <w:rFonts w:ascii="Calibri" w:hAnsi="Calibri"/>
        </w:rPr>
        <w:t>aux ressources informatiques (BDD, messagerie, Internet, stockage)</w:t>
      </w:r>
      <w:r w:rsidR="00BC47A2">
        <w:rPr>
          <w:rFonts w:ascii="Calibri" w:hAnsi="Calibri"/>
        </w:rPr>
        <w:t xml:space="preserve"> et</w:t>
      </w:r>
      <w:r w:rsidR="00A9725B">
        <w:rPr>
          <w:rFonts w:ascii="Calibri" w:hAnsi="Calibri"/>
        </w:rPr>
        <w:t xml:space="preserve"> l’accès DMZ</w:t>
      </w:r>
      <w:r w:rsidR="005559E4">
        <w:rPr>
          <w:rFonts w:ascii="Calibri" w:hAnsi="Calibri"/>
        </w:rPr>
        <w:t xml:space="preserve"> </w:t>
      </w:r>
      <w:r w:rsidR="00B5669C">
        <w:rPr>
          <w:rFonts w:ascii="Calibri" w:hAnsi="Calibri"/>
        </w:rPr>
        <w:t>et d’un commutateur routeur pour relier le réseau M2L à l’infrastructure</w:t>
      </w:r>
      <w:r w:rsidR="00F364DC">
        <w:rPr>
          <w:rFonts w:ascii="Calibri" w:hAnsi="Calibri"/>
        </w:rPr>
        <w:t>.</w:t>
      </w:r>
    </w:p>
    <w:p w:rsidR="00A9725B" w:rsidRDefault="00A9725B" w:rsidP="00D8620B">
      <w:pPr>
        <w:rPr>
          <w:rFonts w:ascii="Calibri" w:hAnsi="Calibri"/>
        </w:rPr>
      </w:pPr>
      <w:r>
        <w:rPr>
          <w:rFonts w:ascii="Calibri" w:hAnsi="Calibri"/>
        </w:rPr>
        <w:t xml:space="preserve">Pour la maquette on utilisera un commutateur de type 29xx pour les </w:t>
      </w:r>
      <w:r w:rsidR="008953D9">
        <w:rPr>
          <w:rFonts w:ascii="Calibri" w:hAnsi="Calibri"/>
        </w:rPr>
        <w:t xml:space="preserve">sous </w:t>
      </w:r>
      <w:r>
        <w:rPr>
          <w:rFonts w:ascii="Calibri" w:hAnsi="Calibri"/>
        </w:rPr>
        <w:t>réseaux des ligues</w:t>
      </w:r>
      <w:r w:rsidR="008953D9">
        <w:rPr>
          <w:rFonts w:ascii="Calibri" w:hAnsi="Calibri"/>
        </w:rPr>
        <w:t xml:space="preserve"> (2 sous réseaux)</w:t>
      </w:r>
      <w:r>
        <w:rPr>
          <w:rFonts w:ascii="Calibri" w:hAnsi="Calibri"/>
        </w:rPr>
        <w:t xml:space="preserve">, </w:t>
      </w:r>
      <w:r w:rsidR="006E101C">
        <w:rPr>
          <w:rFonts w:ascii="Calibri" w:hAnsi="Calibri"/>
        </w:rPr>
        <w:t>pour les sous réseaux M2L</w:t>
      </w:r>
      <w:r w:rsidR="008953D9">
        <w:rPr>
          <w:rFonts w:ascii="Calibri" w:hAnsi="Calibri"/>
        </w:rPr>
        <w:t xml:space="preserve"> (2 sous réseaux) et pour le sous réseau DMZ.</w:t>
      </w:r>
    </w:p>
    <w:p w:rsidR="005764F8" w:rsidRDefault="005764F8" w:rsidP="00D8620B">
      <w:pPr>
        <w:rPr>
          <w:rFonts w:ascii="Calibri" w:hAnsi="Calibri"/>
        </w:rPr>
      </w:pPr>
    </w:p>
    <w:p w:rsidR="005764F8" w:rsidRDefault="005764F8" w:rsidP="00D8620B">
      <w:pPr>
        <w:rPr>
          <w:rFonts w:ascii="Calibri" w:hAnsi="Calibri"/>
        </w:rPr>
      </w:pPr>
    </w:p>
    <w:p w:rsidR="003E48DB" w:rsidRDefault="005764F8" w:rsidP="005764F8">
      <w:pPr>
        <w:jc w:val="center"/>
        <w:rPr>
          <w:rFonts w:ascii="Calibri" w:hAnsi="Calibri"/>
        </w:rPr>
      </w:pPr>
      <w:r>
        <w:rPr>
          <w:noProof/>
          <w:lang w:eastAsia="fr-FR"/>
        </w:rPr>
        <w:drawing>
          <wp:inline distT="0" distB="0" distL="0" distR="0">
            <wp:extent cx="4648200" cy="30575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49" w:rsidRPr="003E48DB" w:rsidRDefault="00BC6749" w:rsidP="002908E8">
      <w:pPr>
        <w:rPr>
          <w:rFonts w:ascii="Calibri" w:hAnsi="Calibri"/>
          <w:b/>
          <w:bCs/>
          <w:sz w:val="28"/>
          <w:szCs w:val="28"/>
          <w:u w:val="single"/>
        </w:rPr>
      </w:pPr>
      <w:r w:rsidRPr="003E48DB">
        <w:rPr>
          <w:rFonts w:ascii="Calibri" w:hAnsi="Calibri"/>
          <w:b/>
          <w:bCs/>
        </w:rPr>
        <w:t xml:space="preserve">2) </w:t>
      </w:r>
      <w:r w:rsidR="00680BE0">
        <w:rPr>
          <w:rFonts w:ascii="Calibri" w:hAnsi="Calibri"/>
          <w:b/>
          <w:bCs/>
        </w:rPr>
        <w:t>Cahier des charges</w:t>
      </w:r>
    </w:p>
    <w:p w:rsidR="00F30E6C" w:rsidRPr="00C7375F" w:rsidRDefault="00F30E6C" w:rsidP="00F30E6C">
      <w:pPr>
        <w:spacing w:before="120"/>
        <w:rPr>
          <w:rFonts w:ascii="Calibri" w:hAnsi="Calibri"/>
        </w:rPr>
      </w:pPr>
      <w:r>
        <w:rPr>
          <w:rFonts w:ascii="Calibri" w:hAnsi="Calibri" w:cs="Arial"/>
          <w:bCs/>
        </w:rPr>
        <w:t>Le</w:t>
      </w:r>
      <w:r w:rsidRPr="00C7375F">
        <w:rPr>
          <w:rFonts w:ascii="Calibri" w:hAnsi="Calibri" w:cs="Arial"/>
          <w:bCs/>
        </w:rPr>
        <w:t xml:space="preserve"> routage </w:t>
      </w:r>
      <w:r>
        <w:rPr>
          <w:rFonts w:ascii="Calibri" w:hAnsi="Calibri" w:cs="Arial"/>
          <w:bCs/>
        </w:rPr>
        <w:t>doit faire en sorte</w:t>
      </w:r>
      <w:r w:rsidRPr="00C7375F">
        <w:rPr>
          <w:rFonts w:ascii="Calibri" w:hAnsi="Calibri" w:cs="Arial"/>
          <w:bCs/>
        </w:rPr>
        <w:t xml:space="preserve"> que le trafic entre ligues, M2L et Internet soit le plus rapide possible.</w:t>
      </w:r>
      <w:r>
        <w:rPr>
          <w:rFonts w:ascii="Calibri" w:hAnsi="Calibri" w:cs="Arial"/>
          <w:bCs/>
        </w:rPr>
        <w:t xml:space="preserve"> Il doit permettre le service d’accès à Internet ainsi que le routage du trafic de gestion.</w:t>
      </w:r>
      <w:r w:rsidR="003E49B7">
        <w:rPr>
          <w:rFonts w:ascii="Calibri" w:hAnsi="Calibri" w:cs="Arial"/>
          <w:bCs/>
        </w:rPr>
        <w:t xml:space="preserve"> </w:t>
      </w:r>
    </w:p>
    <w:p w:rsidR="00EE1643" w:rsidRDefault="00680BE0" w:rsidP="00EE1643">
      <w:p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Le réseau </w:t>
      </w:r>
      <w:proofErr w:type="spellStart"/>
      <w:r w:rsidR="007B1457">
        <w:rPr>
          <w:rFonts w:ascii="Calibri" w:hAnsi="Calibri"/>
        </w:rPr>
        <w:t>backbone</w:t>
      </w:r>
      <w:proofErr w:type="spellEnd"/>
      <w:r w:rsidR="007B1457">
        <w:rPr>
          <w:rFonts w:ascii="Calibri" w:hAnsi="Calibri"/>
        </w:rPr>
        <w:t xml:space="preserve"> </w:t>
      </w:r>
      <w:r>
        <w:rPr>
          <w:rFonts w:ascii="Calibri" w:hAnsi="Calibri"/>
        </w:rPr>
        <w:t>doit assurer une disponibilité maximum du service même en cas de rupture d</w:t>
      </w:r>
      <w:r w:rsidR="007B1457">
        <w:rPr>
          <w:rFonts w:ascii="Calibri" w:hAnsi="Calibri"/>
        </w:rPr>
        <w:t>’un</w:t>
      </w:r>
      <w:r>
        <w:rPr>
          <w:rFonts w:ascii="Calibri" w:hAnsi="Calibri"/>
        </w:rPr>
        <w:t xml:space="preserve"> lien dans la chaîne de transmission.</w:t>
      </w:r>
      <w:r w:rsidR="00C7375F">
        <w:rPr>
          <w:rFonts w:ascii="Calibri" w:hAnsi="Calibri"/>
        </w:rPr>
        <w:t xml:space="preserve"> </w:t>
      </w:r>
    </w:p>
    <w:p w:rsidR="003E48DB" w:rsidRPr="00C7375F" w:rsidRDefault="003E48DB" w:rsidP="002908E8">
      <w:pPr>
        <w:rPr>
          <w:rFonts w:ascii="Calibri" w:hAnsi="Calibri"/>
        </w:rPr>
      </w:pPr>
    </w:p>
    <w:p w:rsidR="00BC6749" w:rsidRPr="00440079" w:rsidRDefault="00BC6749" w:rsidP="00186531">
      <w:pPr>
        <w:rPr>
          <w:rFonts w:ascii="Calibri" w:hAnsi="Calibri"/>
          <w:b/>
          <w:bCs/>
        </w:rPr>
      </w:pPr>
      <w:r w:rsidRPr="00440079">
        <w:rPr>
          <w:rFonts w:ascii="Calibri" w:hAnsi="Calibri"/>
          <w:b/>
          <w:bCs/>
        </w:rPr>
        <w:t xml:space="preserve">3) </w:t>
      </w:r>
      <w:r w:rsidR="000E303E" w:rsidRPr="00440079">
        <w:rPr>
          <w:rFonts w:ascii="Calibri" w:hAnsi="Calibri"/>
          <w:b/>
          <w:bCs/>
        </w:rPr>
        <w:t>D</w:t>
      </w:r>
      <w:r w:rsidRPr="00440079">
        <w:rPr>
          <w:rFonts w:ascii="Calibri" w:hAnsi="Calibri"/>
          <w:b/>
          <w:bCs/>
        </w:rPr>
        <w:t>éroulement de la mise en œuvre</w:t>
      </w:r>
    </w:p>
    <w:p w:rsidR="00BC6749" w:rsidRPr="00B843C1" w:rsidRDefault="00BC6749" w:rsidP="00D21A3A">
      <w:pPr>
        <w:rPr>
          <w:rFonts w:ascii="Calibri" w:hAnsi="Calibri" w:cs="Arial"/>
          <w:b/>
        </w:rPr>
      </w:pPr>
      <w:r w:rsidRPr="00B843C1">
        <w:rPr>
          <w:rFonts w:ascii="Calibri" w:hAnsi="Calibri" w:cs="Arial"/>
          <w:b/>
        </w:rPr>
        <w:t>La réalisation se fait en plusieurs étapes :</w:t>
      </w:r>
    </w:p>
    <w:p w:rsidR="00B843C1" w:rsidRPr="00B843C1" w:rsidRDefault="00BC6749" w:rsidP="00B843C1">
      <w:pPr>
        <w:numPr>
          <w:ilvl w:val="0"/>
          <w:numId w:val="3"/>
        </w:numPr>
        <w:tabs>
          <w:tab w:val="left" w:pos="360"/>
        </w:tabs>
        <w:spacing w:after="200" w:line="276" w:lineRule="auto"/>
        <w:rPr>
          <w:b/>
        </w:rPr>
      </w:pPr>
      <w:r w:rsidRPr="00B843C1">
        <w:rPr>
          <w:rFonts w:ascii="Calibri" w:hAnsi="Calibri"/>
          <w:b/>
          <w:lang w:eastAsia="en-US"/>
        </w:rPr>
        <w:t xml:space="preserve"> </w:t>
      </w:r>
      <w:r w:rsidR="00B843C1" w:rsidRPr="00B843C1">
        <w:rPr>
          <w:b/>
        </w:rPr>
        <w:t>Planification et mise en place du réseau (sur une structure de VLAN)</w:t>
      </w:r>
    </w:p>
    <w:p w:rsidR="00B843C1" w:rsidRPr="00B843C1" w:rsidRDefault="00B843C1" w:rsidP="00B843C1">
      <w:pPr>
        <w:numPr>
          <w:ilvl w:val="0"/>
          <w:numId w:val="3"/>
        </w:numPr>
        <w:tabs>
          <w:tab w:val="left" w:pos="360"/>
        </w:tabs>
        <w:spacing w:after="200" w:line="276" w:lineRule="auto"/>
        <w:rPr>
          <w:b/>
        </w:rPr>
      </w:pPr>
      <w:r w:rsidRPr="00B843C1">
        <w:rPr>
          <w:b/>
        </w:rPr>
        <w:t>Câblage (brassage) des trois routeurs, routeur Ligues, routeur M2L et routeur DMZ</w:t>
      </w:r>
    </w:p>
    <w:p w:rsidR="00B843C1" w:rsidRPr="00B843C1" w:rsidRDefault="004853E1" w:rsidP="00B843C1">
      <w:pPr>
        <w:tabs>
          <w:tab w:val="left" w:pos="360"/>
        </w:tabs>
        <w:ind w:left="360"/>
        <w:rPr>
          <w:b/>
        </w:rPr>
      </w:pPr>
      <w:r>
        <w:rPr>
          <w:b/>
        </w:rPr>
        <w:tab/>
      </w:r>
      <w:r w:rsidR="00B843C1" w:rsidRPr="00B843C1">
        <w:rPr>
          <w:b/>
        </w:rPr>
        <w:t xml:space="preserve"> Routeur Ligues : Il doit accueillir le Switch qui acheminera les Vlan des ligues </w:t>
      </w:r>
    </w:p>
    <w:p w:rsidR="00B843C1" w:rsidRPr="00B843C1" w:rsidRDefault="00B843C1" w:rsidP="00B843C1">
      <w:pPr>
        <w:tabs>
          <w:tab w:val="left" w:pos="360"/>
          <w:tab w:val="left" w:pos="720"/>
        </w:tabs>
        <w:rPr>
          <w:b/>
        </w:rPr>
      </w:pPr>
      <w:r w:rsidRPr="00B843C1">
        <w:rPr>
          <w:b/>
        </w:rPr>
        <w:t xml:space="preserve">       </w:t>
      </w:r>
      <w:r w:rsidR="004853E1">
        <w:rPr>
          <w:b/>
        </w:rPr>
        <w:tab/>
      </w:r>
      <w:r w:rsidRPr="00B843C1">
        <w:rPr>
          <w:b/>
        </w:rPr>
        <w:t xml:space="preserve"> Routeur M2L : Il doit accueillir le Switch qui acheminera les Vlan M2L</w:t>
      </w:r>
    </w:p>
    <w:p w:rsidR="00B843C1" w:rsidRPr="00B843C1" w:rsidRDefault="00B843C1" w:rsidP="00B843C1">
      <w:pPr>
        <w:tabs>
          <w:tab w:val="left" w:pos="360"/>
          <w:tab w:val="left" w:pos="720"/>
        </w:tabs>
        <w:rPr>
          <w:b/>
        </w:rPr>
      </w:pPr>
      <w:r w:rsidRPr="00B843C1">
        <w:rPr>
          <w:b/>
        </w:rPr>
        <w:t xml:space="preserve">        </w:t>
      </w:r>
      <w:r w:rsidR="004853E1">
        <w:rPr>
          <w:b/>
        </w:rPr>
        <w:tab/>
      </w:r>
      <w:r w:rsidRPr="00B843C1">
        <w:rPr>
          <w:b/>
        </w:rPr>
        <w:t xml:space="preserve">Routeur DMZ : qui servira de passerelle sécurisée vers l’internet et les réseaux externes. </w:t>
      </w:r>
    </w:p>
    <w:p w:rsidR="00B843C1" w:rsidRPr="00B843C1" w:rsidRDefault="00B843C1" w:rsidP="00B843C1">
      <w:pPr>
        <w:numPr>
          <w:ilvl w:val="0"/>
          <w:numId w:val="3"/>
        </w:numPr>
        <w:tabs>
          <w:tab w:val="left" w:pos="360"/>
        </w:tabs>
        <w:spacing w:after="200" w:line="276" w:lineRule="auto"/>
        <w:rPr>
          <w:b/>
        </w:rPr>
      </w:pPr>
      <w:r w:rsidRPr="00B843C1">
        <w:rPr>
          <w:b/>
        </w:rPr>
        <w:t>Configuration des Routeurs avec l’activation et la configuration d’un routage OSPF instance 1</w:t>
      </w:r>
    </w:p>
    <w:p w:rsidR="00B843C1" w:rsidRPr="00B843C1" w:rsidRDefault="00B843C1" w:rsidP="00B843C1">
      <w:pPr>
        <w:numPr>
          <w:ilvl w:val="0"/>
          <w:numId w:val="3"/>
        </w:numPr>
        <w:tabs>
          <w:tab w:val="left" w:pos="360"/>
        </w:tabs>
        <w:spacing w:after="200" w:line="276" w:lineRule="auto"/>
        <w:rPr>
          <w:b/>
        </w:rPr>
      </w:pPr>
      <w:r w:rsidRPr="00B843C1">
        <w:rPr>
          <w:b/>
        </w:rPr>
        <w:t xml:space="preserve">Vérification des tables de routage sur chaque routeur </w:t>
      </w:r>
    </w:p>
    <w:p w:rsidR="00BC6749" w:rsidRPr="003E48DB" w:rsidRDefault="00BC6749" w:rsidP="003E48DB">
      <w:pPr>
        <w:pStyle w:val="Sansinterligne1"/>
        <w:rPr>
          <w:rFonts w:ascii="Calibri" w:hAnsi="Calibri"/>
          <w:lang w:eastAsia="en-US"/>
        </w:rPr>
      </w:pPr>
    </w:p>
    <w:sectPr w:rsidR="00BC6749" w:rsidRPr="003E48DB" w:rsidSect="000E7577">
      <w:footerReference w:type="default" r:id="rId8"/>
      <w:pgSz w:w="11906" w:h="16838"/>
      <w:pgMar w:top="568" w:right="566" w:bottom="567" w:left="709" w:header="709" w:footer="3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A4" w:rsidRDefault="00B123A4" w:rsidP="00227204">
      <w:r>
        <w:separator/>
      </w:r>
    </w:p>
  </w:endnote>
  <w:endnote w:type="continuationSeparator" w:id="0">
    <w:p w:rsidR="00B123A4" w:rsidRDefault="00B123A4" w:rsidP="0022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B7" w:rsidRDefault="003E49B7" w:rsidP="00B97843">
    <w:pPr>
      <w:suppressAutoHyphens w:val="0"/>
      <w:autoSpaceDE w:val="0"/>
      <w:autoSpaceDN w:val="0"/>
      <w:adjustRightInd w:val="0"/>
      <w:rPr>
        <w:rFonts w:ascii="Times New Roman" w:hAnsi="Times New Roman" w:cs="Times New Roman"/>
        <w:sz w:val="18"/>
        <w:szCs w:val="18"/>
        <w:lang w:eastAsia="fr-FR"/>
      </w:rPr>
    </w:pPr>
    <w:r>
      <w:rPr>
        <w:rFonts w:ascii="Times New Roman" w:hAnsi="Times New Roman" w:cs="Times New Roman"/>
        <w:sz w:val="13"/>
        <w:szCs w:val="13"/>
        <w:lang w:eastAsia="fr-FR"/>
      </w:rPr>
      <w:t xml:space="preserve">1 </w:t>
    </w:r>
    <w:r>
      <w:rPr>
        <w:rFonts w:ascii="Times New Roman" w:hAnsi="Times New Roman" w:cs="Times New Roman"/>
        <w:sz w:val="18"/>
        <w:szCs w:val="18"/>
        <w:lang w:eastAsia="fr-FR"/>
      </w:rPr>
      <w:t>En CCF, de l’étudiant.</w:t>
    </w:r>
  </w:p>
  <w:p w:rsidR="003E49B7" w:rsidRDefault="003E49B7" w:rsidP="00B97843">
    <w:pPr>
      <w:suppressAutoHyphens w:val="0"/>
      <w:autoSpaceDE w:val="0"/>
      <w:autoSpaceDN w:val="0"/>
      <w:adjustRightInd w:val="0"/>
      <w:rPr>
        <w:rFonts w:ascii="Times New Roman" w:hAnsi="Times New Roman" w:cs="Times New Roman"/>
        <w:sz w:val="18"/>
        <w:szCs w:val="18"/>
        <w:lang w:eastAsia="fr-FR"/>
      </w:rPr>
    </w:pPr>
    <w:r>
      <w:rPr>
        <w:rFonts w:ascii="Times New Roman" w:hAnsi="Times New Roman" w:cs="Times New Roman"/>
        <w:sz w:val="12"/>
        <w:szCs w:val="12"/>
        <w:lang w:eastAsia="fr-FR"/>
      </w:rPr>
      <w:t xml:space="preserve">2 </w:t>
    </w:r>
    <w:r>
      <w:rPr>
        <w:rFonts w:ascii="Times New Roman" w:hAnsi="Times New Roman" w:cs="Times New Roman"/>
        <w:sz w:val="18"/>
        <w:szCs w:val="18"/>
        <w:lang w:eastAsia="fr-FR"/>
      </w:rPr>
      <w:t>À renseigner en cas d’épreuve ponctuelle.</w:t>
    </w:r>
  </w:p>
  <w:p w:rsidR="003E49B7" w:rsidRDefault="003E49B7" w:rsidP="00B97843">
    <w:pPr>
      <w:suppressAutoHyphens w:val="0"/>
      <w:autoSpaceDE w:val="0"/>
      <w:autoSpaceDN w:val="0"/>
      <w:adjustRightInd w:val="0"/>
      <w:rPr>
        <w:rFonts w:ascii="Times New Roman" w:hAnsi="Times New Roman" w:cs="Times New Roman"/>
        <w:sz w:val="18"/>
        <w:szCs w:val="18"/>
        <w:lang w:eastAsia="fr-FR"/>
      </w:rPr>
    </w:pPr>
    <w:r>
      <w:rPr>
        <w:rFonts w:ascii="Times New Roman" w:hAnsi="Times New Roman" w:cs="Times New Roman"/>
        <w:sz w:val="12"/>
        <w:szCs w:val="12"/>
        <w:lang w:eastAsia="fr-FR"/>
      </w:rPr>
      <w:t xml:space="preserve">3 </w:t>
    </w:r>
    <w:r>
      <w:rPr>
        <w:rFonts w:ascii="Times New Roman" w:hAnsi="Times New Roman" w:cs="Times New Roman"/>
        <w:sz w:val="18"/>
        <w:szCs w:val="18"/>
        <w:lang w:eastAsia="fr-FR"/>
      </w:rPr>
      <w:t>Conformément au référentiel du BTS SIO, le contexte doit être conforme au cahier des charges national en matière</w:t>
    </w:r>
  </w:p>
  <w:p w:rsidR="003E49B7" w:rsidRDefault="003E49B7" w:rsidP="00B97843">
    <w:pPr>
      <w:suppressAutoHyphens w:val="0"/>
      <w:autoSpaceDE w:val="0"/>
      <w:autoSpaceDN w:val="0"/>
      <w:adjustRightInd w:val="0"/>
      <w:rPr>
        <w:rFonts w:ascii="Times New Roman" w:hAnsi="Times New Roman" w:cs="Times New Roman"/>
        <w:sz w:val="18"/>
        <w:szCs w:val="18"/>
        <w:lang w:eastAsia="fr-FR"/>
      </w:rPr>
    </w:pPr>
    <w:proofErr w:type="gramStart"/>
    <w:r>
      <w:rPr>
        <w:rFonts w:ascii="Times New Roman" w:hAnsi="Times New Roman" w:cs="Times New Roman"/>
        <w:sz w:val="18"/>
        <w:szCs w:val="18"/>
        <w:lang w:eastAsia="fr-FR"/>
      </w:rPr>
      <w:t>d’environnement</w:t>
    </w:r>
    <w:proofErr w:type="gramEnd"/>
    <w:r>
      <w:rPr>
        <w:rFonts w:ascii="Times New Roman" w:hAnsi="Times New Roman" w:cs="Times New Roman"/>
        <w:sz w:val="18"/>
        <w:szCs w:val="18"/>
        <w:lang w:eastAsia="fr-FR"/>
      </w:rPr>
      <w:t xml:space="preserve"> technologique dans le domaine de spécialité correspondant au parcours du candidat.</w:t>
    </w:r>
  </w:p>
  <w:p w:rsidR="003E49B7" w:rsidRPr="00B97843" w:rsidRDefault="003E49B7" w:rsidP="00B97843">
    <w:pPr>
      <w:pStyle w:val="Pieddepage"/>
      <w:rPr>
        <w:szCs w:val="18"/>
      </w:rPr>
    </w:pPr>
    <w:r>
      <w:rPr>
        <w:rFonts w:ascii="Times New Roman" w:hAnsi="Times New Roman" w:cs="Times New Roman"/>
        <w:sz w:val="12"/>
        <w:szCs w:val="12"/>
        <w:lang w:eastAsia="fr-FR"/>
      </w:rPr>
      <w:t xml:space="preserve">4 </w:t>
    </w:r>
    <w:r>
      <w:rPr>
        <w:rFonts w:ascii="Times New Roman" w:hAnsi="Times New Roman" w:cs="Times New Roman"/>
        <w:sz w:val="18"/>
        <w:szCs w:val="18"/>
        <w:lang w:eastAsia="fr-FR"/>
      </w:rPr>
      <w:t>En référence à la description des activités des processus prévue dans le référentiel de certification.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A4" w:rsidRDefault="00B123A4" w:rsidP="00227204">
      <w:r>
        <w:separator/>
      </w:r>
    </w:p>
  </w:footnote>
  <w:footnote w:type="continuationSeparator" w:id="0">
    <w:p w:rsidR="00B123A4" w:rsidRDefault="00B123A4" w:rsidP="00227204">
      <w:r>
        <w:continuationSeparator/>
      </w:r>
    </w:p>
  </w:footnote>
  <w:footnote w:id="1">
    <w:p w:rsidR="003E49B7" w:rsidRPr="000E7577" w:rsidRDefault="003E49B7" w:rsidP="000E7577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23023DF1"/>
    <w:multiLevelType w:val="hybridMultilevel"/>
    <w:tmpl w:val="4C6079B4"/>
    <w:lvl w:ilvl="0" w:tplc="3EAE25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B14AF"/>
    <w:multiLevelType w:val="hybridMultilevel"/>
    <w:tmpl w:val="AB6CF2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27204"/>
    <w:rsid w:val="00005704"/>
    <w:rsid w:val="00006D3E"/>
    <w:rsid w:val="00012985"/>
    <w:rsid w:val="00023F47"/>
    <w:rsid w:val="00030455"/>
    <w:rsid w:val="0005070E"/>
    <w:rsid w:val="00051334"/>
    <w:rsid w:val="000643C5"/>
    <w:rsid w:val="0007411C"/>
    <w:rsid w:val="000750EA"/>
    <w:rsid w:val="00096D63"/>
    <w:rsid w:val="00097A3F"/>
    <w:rsid w:val="000A47C9"/>
    <w:rsid w:val="000A7F2E"/>
    <w:rsid w:val="000C5243"/>
    <w:rsid w:val="000D1043"/>
    <w:rsid w:val="000E303E"/>
    <w:rsid w:val="000E7577"/>
    <w:rsid w:val="0011059D"/>
    <w:rsid w:val="00110D78"/>
    <w:rsid w:val="0012172B"/>
    <w:rsid w:val="00121D39"/>
    <w:rsid w:val="001267A8"/>
    <w:rsid w:val="0014528D"/>
    <w:rsid w:val="00153997"/>
    <w:rsid w:val="001676A5"/>
    <w:rsid w:val="00186531"/>
    <w:rsid w:val="00193C2B"/>
    <w:rsid w:val="001B07AB"/>
    <w:rsid w:val="001B35ED"/>
    <w:rsid w:val="001C2EAF"/>
    <w:rsid w:val="001F00C6"/>
    <w:rsid w:val="00210B07"/>
    <w:rsid w:val="00227204"/>
    <w:rsid w:val="002347C3"/>
    <w:rsid w:val="00236D94"/>
    <w:rsid w:val="00240EF7"/>
    <w:rsid w:val="0025149E"/>
    <w:rsid w:val="00254936"/>
    <w:rsid w:val="0028739D"/>
    <w:rsid w:val="00287B31"/>
    <w:rsid w:val="002908E8"/>
    <w:rsid w:val="0029359C"/>
    <w:rsid w:val="0029368F"/>
    <w:rsid w:val="002A0B4F"/>
    <w:rsid w:val="002A73ED"/>
    <w:rsid w:val="002B4ECE"/>
    <w:rsid w:val="002B65AE"/>
    <w:rsid w:val="002C17AF"/>
    <w:rsid w:val="002F2364"/>
    <w:rsid w:val="00301ECD"/>
    <w:rsid w:val="00302815"/>
    <w:rsid w:val="003119AD"/>
    <w:rsid w:val="00312495"/>
    <w:rsid w:val="00323ADE"/>
    <w:rsid w:val="003409BE"/>
    <w:rsid w:val="003460F2"/>
    <w:rsid w:val="0037136F"/>
    <w:rsid w:val="003A585D"/>
    <w:rsid w:val="003C1F60"/>
    <w:rsid w:val="003D1821"/>
    <w:rsid w:val="003E48DB"/>
    <w:rsid w:val="003E49B7"/>
    <w:rsid w:val="00404F36"/>
    <w:rsid w:val="00405A4D"/>
    <w:rsid w:val="004101EF"/>
    <w:rsid w:val="00425414"/>
    <w:rsid w:val="00440079"/>
    <w:rsid w:val="00444E74"/>
    <w:rsid w:val="00447A7A"/>
    <w:rsid w:val="00451EF2"/>
    <w:rsid w:val="0047317F"/>
    <w:rsid w:val="004853E1"/>
    <w:rsid w:val="004864A0"/>
    <w:rsid w:val="004B10D3"/>
    <w:rsid w:val="004C3C51"/>
    <w:rsid w:val="004E40C6"/>
    <w:rsid w:val="004F18A7"/>
    <w:rsid w:val="005027A4"/>
    <w:rsid w:val="00511494"/>
    <w:rsid w:val="005168D9"/>
    <w:rsid w:val="005209E3"/>
    <w:rsid w:val="00521AF9"/>
    <w:rsid w:val="00530808"/>
    <w:rsid w:val="005319CD"/>
    <w:rsid w:val="005327F2"/>
    <w:rsid w:val="00545294"/>
    <w:rsid w:val="005559E4"/>
    <w:rsid w:val="00557831"/>
    <w:rsid w:val="00560944"/>
    <w:rsid w:val="0056474F"/>
    <w:rsid w:val="005764F8"/>
    <w:rsid w:val="00583D9A"/>
    <w:rsid w:val="0058461F"/>
    <w:rsid w:val="00584D30"/>
    <w:rsid w:val="00587E68"/>
    <w:rsid w:val="005A5B03"/>
    <w:rsid w:val="005A6595"/>
    <w:rsid w:val="005A6E8B"/>
    <w:rsid w:val="005B20C4"/>
    <w:rsid w:val="005B63B3"/>
    <w:rsid w:val="005E7CBF"/>
    <w:rsid w:val="005F66AD"/>
    <w:rsid w:val="005F6805"/>
    <w:rsid w:val="00603630"/>
    <w:rsid w:val="0061505B"/>
    <w:rsid w:val="00636122"/>
    <w:rsid w:val="00637B86"/>
    <w:rsid w:val="00670D11"/>
    <w:rsid w:val="00676BEB"/>
    <w:rsid w:val="00680BE0"/>
    <w:rsid w:val="006D5BEF"/>
    <w:rsid w:val="006E101C"/>
    <w:rsid w:val="00714E6F"/>
    <w:rsid w:val="00736812"/>
    <w:rsid w:val="00736EB9"/>
    <w:rsid w:val="00746EB2"/>
    <w:rsid w:val="00756ADB"/>
    <w:rsid w:val="00765F0B"/>
    <w:rsid w:val="0077277E"/>
    <w:rsid w:val="007755D0"/>
    <w:rsid w:val="00784825"/>
    <w:rsid w:val="007930EA"/>
    <w:rsid w:val="00793E67"/>
    <w:rsid w:val="007A012A"/>
    <w:rsid w:val="007A494D"/>
    <w:rsid w:val="007B1457"/>
    <w:rsid w:val="007C6608"/>
    <w:rsid w:val="007C7071"/>
    <w:rsid w:val="007D7F1F"/>
    <w:rsid w:val="007F41B2"/>
    <w:rsid w:val="008003F0"/>
    <w:rsid w:val="0082140F"/>
    <w:rsid w:val="00833BD6"/>
    <w:rsid w:val="00853B9A"/>
    <w:rsid w:val="00855DCF"/>
    <w:rsid w:val="008645F4"/>
    <w:rsid w:val="0089523B"/>
    <w:rsid w:val="008953D9"/>
    <w:rsid w:val="0089636B"/>
    <w:rsid w:val="008A2737"/>
    <w:rsid w:val="008A516C"/>
    <w:rsid w:val="008A76DD"/>
    <w:rsid w:val="008B798F"/>
    <w:rsid w:val="008D3B4B"/>
    <w:rsid w:val="0092220C"/>
    <w:rsid w:val="00932FAA"/>
    <w:rsid w:val="00934F3C"/>
    <w:rsid w:val="0094683C"/>
    <w:rsid w:val="00962ACC"/>
    <w:rsid w:val="00967D2B"/>
    <w:rsid w:val="00967F03"/>
    <w:rsid w:val="00985BBA"/>
    <w:rsid w:val="00996852"/>
    <w:rsid w:val="009A070F"/>
    <w:rsid w:val="009A39DB"/>
    <w:rsid w:val="009C1F96"/>
    <w:rsid w:val="009C4AB7"/>
    <w:rsid w:val="009D77D0"/>
    <w:rsid w:val="009E03AD"/>
    <w:rsid w:val="009E320B"/>
    <w:rsid w:val="00A01502"/>
    <w:rsid w:val="00A237D4"/>
    <w:rsid w:val="00A371E3"/>
    <w:rsid w:val="00A409B7"/>
    <w:rsid w:val="00A41069"/>
    <w:rsid w:val="00A522F0"/>
    <w:rsid w:val="00A9725B"/>
    <w:rsid w:val="00AA55AA"/>
    <w:rsid w:val="00AC36C0"/>
    <w:rsid w:val="00AC6C11"/>
    <w:rsid w:val="00B022DC"/>
    <w:rsid w:val="00B123A4"/>
    <w:rsid w:val="00B219D7"/>
    <w:rsid w:val="00B27DF9"/>
    <w:rsid w:val="00B32AEB"/>
    <w:rsid w:val="00B36D91"/>
    <w:rsid w:val="00B439C2"/>
    <w:rsid w:val="00B47034"/>
    <w:rsid w:val="00B54573"/>
    <w:rsid w:val="00B5669C"/>
    <w:rsid w:val="00B843C1"/>
    <w:rsid w:val="00B95D13"/>
    <w:rsid w:val="00B97843"/>
    <w:rsid w:val="00BB2896"/>
    <w:rsid w:val="00BC29F7"/>
    <w:rsid w:val="00BC343B"/>
    <w:rsid w:val="00BC47A2"/>
    <w:rsid w:val="00BC646B"/>
    <w:rsid w:val="00BC6749"/>
    <w:rsid w:val="00BD33AB"/>
    <w:rsid w:val="00BD6EF4"/>
    <w:rsid w:val="00BF4909"/>
    <w:rsid w:val="00C202BB"/>
    <w:rsid w:val="00C26C6C"/>
    <w:rsid w:val="00C45BD3"/>
    <w:rsid w:val="00C64974"/>
    <w:rsid w:val="00C7375F"/>
    <w:rsid w:val="00C74279"/>
    <w:rsid w:val="00C77201"/>
    <w:rsid w:val="00C84820"/>
    <w:rsid w:val="00CB5BEC"/>
    <w:rsid w:val="00CB5CB8"/>
    <w:rsid w:val="00CE477F"/>
    <w:rsid w:val="00CE7D14"/>
    <w:rsid w:val="00D21A3A"/>
    <w:rsid w:val="00D22201"/>
    <w:rsid w:val="00D2696F"/>
    <w:rsid w:val="00D57943"/>
    <w:rsid w:val="00D8620B"/>
    <w:rsid w:val="00D8664C"/>
    <w:rsid w:val="00DC3607"/>
    <w:rsid w:val="00DD49BA"/>
    <w:rsid w:val="00DE34FC"/>
    <w:rsid w:val="00DF05A4"/>
    <w:rsid w:val="00DF60E7"/>
    <w:rsid w:val="00E00887"/>
    <w:rsid w:val="00E05B3C"/>
    <w:rsid w:val="00E156E0"/>
    <w:rsid w:val="00E175B5"/>
    <w:rsid w:val="00E338FE"/>
    <w:rsid w:val="00E33C67"/>
    <w:rsid w:val="00E4136E"/>
    <w:rsid w:val="00E4530C"/>
    <w:rsid w:val="00E57EFE"/>
    <w:rsid w:val="00E71FBD"/>
    <w:rsid w:val="00E73CEA"/>
    <w:rsid w:val="00EA2FF0"/>
    <w:rsid w:val="00EA5FD4"/>
    <w:rsid w:val="00EB2FDA"/>
    <w:rsid w:val="00EB3539"/>
    <w:rsid w:val="00EB59FD"/>
    <w:rsid w:val="00ED11A2"/>
    <w:rsid w:val="00ED3F70"/>
    <w:rsid w:val="00EE1643"/>
    <w:rsid w:val="00EE1B15"/>
    <w:rsid w:val="00F16CF1"/>
    <w:rsid w:val="00F17D29"/>
    <w:rsid w:val="00F30E6C"/>
    <w:rsid w:val="00F31D53"/>
    <w:rsid w:val="00F3392E"/>
    <w:rsid w:val="00F364DC"/>
    <w:rsid w:val="00F37942"/>
    <w:rsid w:val="00F37E16"/>
    <w:rsid w:val="00F44F7A"/>
    <w:rsid w:val="00F6410B"/>
    <w:rsid w:val="00F7303A"/>
    <w:rsid w:val="00F8072B"/>
    <w:rsid w:val="00F810FE"/>
    <w:rsid w:val="00F85256"/>
    <w:rsid w:val="00F90F36"/>
    <w:rsid w:val="00FA0C40"/>
    <w:rsid w:val="00FA510F"/>
    <w:rsid w:val="00FC05DB"/>
    <w:rsid w:val="00FD7D2F"/>
    <w:rsid w:val="00FE659A"/>
    <w:rsid w:val="00FF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204"/>
    <w:pPr>
      <w:suppressAutoHyphens/>
    </w:pPr>
    <w:rPr>
      <w:rFonts w:ascii="Times" w:eastAsia="Times New Roman" w:hAnsi="Times" w:cs="Times"/>
      <w:sz w:val="24"/>
      <w:szCs w:val="24"/>
      <w:lang w:eastAsia="ar-SA"/>
    </w:rPr>
  </w:style>
  <w:style w:type="paragraph" w:styleId="Titre9">
    <w:name w:val="heading 9"/>
    <w:basedOn w:val="Normal"/>
    <w:next w:val="Normal"/>
    <w:link w:val="Titre9Car"/>
    <w:qFormat/>
    <w:rsid w:val="002272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link w:val="Titre9"/>
    <w:locked/>
    <w:rsid w:val="00227204"/>
    <w:rPr>
      <w:rFonts w:ascii="Arial" w:hAnsi="Arial" w:cs="Arial"/>
      <w:lang w:eastAsia="ar-SA" w:bidi="ar-SA"/>
    </w:rPr>
  </w:style>
  <w:style w:type="paragraph" w:styleId="Notedebasdepage">
    <w:name w:val="footnote text"/>
    <w:basedOn w:val="Normal"/>
    <w:link w:val="NotedebasdepageCar"/>
    <w:semiHidden/>
    <w:rsid w:val="00227204"/>
    <w:rPr>
      <w:sz w:val="20"/>
      <w:szCs w:val="20"/>
    </w:rPr>
  </w:style>
  <w:style w:type="character" w:customStyle="1" w:styleId="NotedebasdepageCar">
    <w:name w:val="Note de bas de page Car"/>
    <w:link w:val="Notedebasdepage"/>
    <w:locked/>
    <w:rsid w:val="00227204"/>
    <w:rPr>
      <w:rFonts w:ascii="Times" w:hAnsi="Times" w:cs="Times"/>
      <w:sz w:val="20"/>
      <w:szCs w:val="20"/>
      <w:lang w:eastAsia="ar-SA" w:bidi="ar-SA"/>
    </w:rPr>
  </w:style>
  <w:style w:type="character" w:styleId="Appelnotedebasdep">
    <w:name w:val="footnote reference"/>
    <w:semiHidden/>
    <w:rsid w:val="00227204"/>
    <w:rPr>
      <w:rFonts w:cs="Times New Roman"/>
      <w:vertAlign w:val="superscript"/>
    </w:rPr>
  </w:style>
  <w:style w:type="paragraph" w:customStyle="1" w:styleId="Paragraphedeliste1">
    <w:name w:val="Paragraphe de liste1"/>
    <w:basedOn w:val="Normal"/>
    <w:rsid w:val="00B47034"/>
    <w:pPr>
      <w:ind w:left="720"/>
    </w:pPr>
  </w:style>
  <w:style w:type="paragraph" w:styleId="Textedebulles">
    <w:name w:val="Balloon Text"/>
    <w:basedOn w:val="Normal"/>
    <w:link w:val="TextedebullesCar"/>
    <w:semiHidden/>
    <w:rsid w:val="007C70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7C7071"/>
    <w:rPr>
      <w:rFonts w:ascii="Tahoma" w:hAnsi="Tahoma" w:cs="Tahoma"/>
      <w:sz w:val="16"/>
      <w:szCs w:val="16"/>
      <w:lang w:eastAsia="ar-SA" w:bidi="ar-SA"/>
    </w:rPr>
  </w:style>
  <w:style w:type="paragraph" w:styleId="En-tte">
    <w:name w:val="header"/>
    <w:basedOn w:val="Normal"/>
    <w:link w:val="En-tteCar"/>
    <w:semiHidden/>
    <w:rsid w:val="009C1F9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9C1F96"/>
    <w:rPr>
      <w:rFonts w:ascii="Times" w:hAnsi="Times" w:cs="Times"/>
      <w:sz w:val="20"/>
      <w:szCs w:val="20"/>
      <w:lang w:eastAsia="ar-SA" w:bidi="ar-SA"/>
    </w:rPr>
  </w:style>
  <w:style w:type="paragraph" w:styleId="Pieddepage">
    <w:name w:val="footer"/>
    <w:basedOn w:val="Normal"/>
    <w:link w:val="PieddepageCar"/>
    <w:rsid w:val="009C1F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locked/>
    <w:rsid w:val="009C1F96"/>
    <w:rPr>
      <w:rFonts w:ascii="Times" w:hAnsi="Times" w:cs="Times"/>
      <w:sz w:val="20"/>
      <w:szCs w:val="20"/>
      <w:lang w:eastAsia="ar-SA" w:bidi="ar-SA"/>
    </w:rPr>
  </w:style>
  <w:style w:type="paragraph" w:customStyle="1" w:styleId="Sansinterligne1">
    <w:name w:val="Sans interligne1"/>
    <w:rsid w:val="00AC6C11"/>
    <w:pPr>
      <w:suppressAutoHyphens/>
    </w:pPr>
    <w:rPr>
      <w:rFonts w:ascii="Times" w:eastAsia="Times New Roman" w:hAnsi="Times" w:cs="Times"/>
      <w:sz w:val="24"/>
      <w:szCs w:val="24"/>
      <w:lang w:eastAsia="ar-SA"/>
    </w:rPr>
  </w:style>
  <w:style w:type="table" w:styleId="Grilledutableau">
    <w:name w:val="Table Grid"/>
    <w:basedOn w:val="TableauNormal"/>
    <w:rsid w:val="00F17D2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97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BTS Services informatiques aux organisations</vt:lpstr>
    </vt:vector>
  </TitlesOfParts>
  <Company>XPSP2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Services informatiques aux organisations</dc:title>
  <dc:creator>Joseph</dc:creator>
  <cp:lastModifiedBy>GHANDOUR</cp:lastModifiedBy>
  <cp:revision>2</cp:revision>
  <dcterms:created xsi:type="dcterms:W3CDTF">2014-05-20T18:26:00Z</dcterms:created>
  <dcterms:modified xsi:type="dcterms:W3CDTF">2014-05-20T18:26:00Z</dcterms:modified>
</cp:coreProperties>
</file>